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03" w:rsidRDefault="007F5703">
      <w:pPr>
        <w:ind w:firstLine="567"/>
        <w:jc w:val="center"/>
        <w:rPr>
          <w:b/>
          <w:bCs/>
          <w:color w:val="0000FF"/>
        </w:rPr>
      </w:pPr>
    </w:p>
    <w:tbl>
      <w:tblPr>
        <w:tblW w:w="9920" w:type="dxa"/>
        <w:tblInd w:w="-5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759"/>
        <w:gridCol w:w="7161"/>
      </w:tblGrid>
      <w:tr w:rsidR="007F5703">
        <w:tc>
          <w:tcPr>
            <w:tcW w:w="2759" w:type="dxa"/>
            <w:vMerge w:val="restart"/>
          </w:tcPr>
          <w:p w:rsidR="007F5703" w:rsidRDefault="007F5703">
            <w:pPr>
              <w:pStyle w:val="af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1" o:spid="_x0000_i1025" type="#_x0000_t75" style="width:131.25pt;height:62.25pt;visibility:visible">
                  <v:imagedata r:id="rId7" o:title=""/>
                </v:shape>
              </w:pict>
            </w:r>
          </w:p>
        </w:tc>
        <w:tc>
          <w:tcPr>
            <w:tcW w:w="7161" w:type="dxa"/>
          </w:tcPr>
          <w:p w:rsidR="007F5703" w:rsidRDefault="007F5703">
            <w:pPr>
              <w:pStyle w:val="af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УЧРЕЖДЕНИЕ ВЫСШЕГО ОБРАЗОВАНИЯ</w:t>
            </w:r>
          </w:p>
          <w:p w:rsidR="007F5703" w:rsidRDefault="007F5703">
            <w:pPr>
              <w:pStyle w:val="af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«Московский художественно-промышленный институт»</w:t>
            </w:r>
          </w:p>
        </w:tc>
      </w:tr>
      <w:tr w:rsidR="007F5703">
        <w:tc>
          <w:tcPr>
            <w:tcW w:w="2759" w:type="dxa"/>
            <w:vMerge/>
          </w:tcPr>
          <w:p w:rsidR="007F5703" w:rsidRDefault="007F5703">
            <w:pPr>
              <w:pStyle w:val="af0"/>
              <w:snapToGrid w:val="0"/>
              <w:jc w:val="center"/>
            </w:pPr>
          </w:p>
        </w:tc>
        <w:tc>
          <w:tcPr>
            <w:tcW w:w="7161" w:type="dxa"/>
          </w:tcPr>
          <w:p w:rsidR="007F5703" w:rsidRDefault="007F5703">
            <w:pPr>
              <w:pStyle w:val="af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Правила  по охране труда в Учреждении высшего образования «Московский художественно-промышленный институт»</w:t>
            </w:r>
          </w:p>
        </w:tc>
      </w:tr>
    </w:tbl>
    <w:p w:rsidR="007F5703" w:rsidRDefault="007F5703">
      <w:pPr>
        <w:spacing w:line="240" w:lineRule="exact"/>
        <w:ind w:left="2156"/>
      </w:pPr>
    </w:p>
    <w:p w:rsidR="007F5703" w:rsidRPr="00674F9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УТВЕРЖДЕНО</w:t>
      </w:r>
    </w:p>
    <w:p w:rsidR="007F5703" w:rsidRPr="00674F9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7F5703" w:rsidRPr="00674F9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15 апреля 2022 г., протокол № 8</w:t>
      </w:r>
    </w:p>
    <w:p w:rsidR="007F5703" w:rsidRPr="00674F9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 xml:space="preserve">Председатель Ученого Совета, </w:t>
      </w:r>
    </w:p>
    <w:p w:rsidR="007F570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ректор института</w:t>
      </w:r>
    </w:p>
    <w:p w:rsidR="007F5703" w:rsidRPr="00674F9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7F5703" w:rsidRPr="00674F9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7F5703" w:rsidRPr="00674F93" w:rsidRDefault="007F5703" w:rsidP="00D855E0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___________________А.А. Егоров</w:t>
      </w:r>
    </w:p>
    <w:p w:rsidR="007F5703" w:rsidRDefault="007F5703" w:rsidP="00D855E0">
      <w:pPr>
        <w:pStyle w:val="Style5"/>
        <w:spacing w:after="0" w:line="240" w:lineRule="auto"/>
        <w:ind w:left="2156"/>
        <w:rPr>
          <w:rFonts w:ascii="Liberation Serif" w:hAnsi="Liberation Serif" w:cs="Liberation Serif"/>
        </w:rPr>
      </w:pPr>
    </w:p>
    <w:p w:rsidR="007F5703" w:rsidRDefault="007F5703">
      <w:pPr>
        <w:pStyle w:val="Style5"/>
        <w:spacing w:after="0" w:line="240" w:lineRule="auto"/>
        <w:ind w:left="2156"/>
        <w:rPr>
          <w:rFonts w:ascii="Liberation Serif" w:hAnsi="Liberation Serif" w:cs="Liberation Serif"/>
        </w:rPr>
      </w:pPr>
    </w:p>
    <w:p w:rsidR="007F5703" w:rsidRDefault="007F5703">
      <w:pPr>
        <w:pStyle w:val="Style5"/>
        <w:spacing w:line="240" w:lineRule="exact"/>
        <w:ind w:left="2156"/>
      </w:pPr>
    </w:p>
    <w:p w:rsidR="007F5703" w:rsidRDefault="007F5703">
      <w:pPr>
        <w:pStyle w:val="Style5"/>
        <w:spacing w:line="240" w:lineRule="exact"/>
        <w:ind w:left="2156"/>
      </w:pPr>
    </w:p>
    <w:p w:rsidR="007F5703" w:rsidRDefault="007F5703">
      <w:pPr>
        <w:pStyle w:val="Style5"/>
        <w:spacing w:line="240" w:lineRule="exact"/>
        <w:ind w:left="2156"/>
      </w:pPr>
    </w:p>
    <w:p w:rsidR="007F5703" w:rsidRDefault="007F5703">
      <w:pPr>
        <w:pStyle w:val="Style5"/>
        <w:spacing w:line="240" w:lineRule="exact"/>
        <w:jc w:val="right"/>
      </w:pPr>
    </w:p>
    <w:p w:rsidR="007F5703" w:rsidRDefault="007F5703">
      <w:pPr>
        <w:pStyle w:val="Style5"/>
        <w:spacing w:after="0" w:line="240" w:lineRule="auto"/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ПРАВИЛА ПО ОХРАНЕ ТРУДА </w:t>
      </w:r>
    </w:p>
    <w:p w:rsidR="007F5703" w:rsidRDefault="007F5703">
      <w:pPr>
        <w:pStyle w:val="Style5"/>
        <w:spacing w:after="0" w:line="240" w:lineRule="auto"/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</w:rPr>
        <w:t>В УЧРЕЖДЕНИИ ВЫСШЕГО ОБРАЗОВАНИЯ</w:t>
      </w:r>
    </w:p>
    <w:p w:rsidR="007F5703" w:rsidRDefault="007F5703">
      <w:pPr>
        <w:pStyle w:val="Style5"/>
        <w:spacing w:after="0" w:line="240" w:lineRule="auto"/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</w:rPr>
        <w:t>«МОСКОВСКИЙ ХУДОЖЕСТВЕННО-ПРОМЫШЛЕННЫЙ ИНСТИТУТ»</w:t>
      </w:r>
    </w:p>
    <w:p w:rsidR="007F5703" w:rsidRDefault="007F5703">
      <w:pPr>
        <w:pStyle w:val="Style5"/>
        <w:spacing w:after="0" w:line="240" w:lineRule="auto"/>
      </w:pPr>
    </w:p>
    <w:p w:rsidR="007F5703" w:rsidRDefault="007F5703">
      <w:pPr>
        <w:pStyle w:val="Style5"/>
        <w:spacing w:line="240" w:lineRule="exact"/>
      </w:pPr>
    </w:p>
    <w:p w:rsidR="007F5703" w:rsidRDefault="007F5703">
      <w:pPr>
        <w:pStyle w:val="Style5"/>
        <w:spacing w:line="240" w:lineRule="exact"/>
      </w:pPr>
    </w:p>
    <w:p w:rsidR="007F5703" w:rsidRDefault="007F5703">
      <w:pPr>
        <w:pStyle w:val="Style5"/>
        <w:spacing w:line="240" w:lineRule="exact"/>
      </w:pPr>
    </w:p>
    <w:p w:rsidR="007F5703" w:rsidRDefault="007F5703">
      <w:pPr>
        <w:pStyle w:val="Style5"/>
        <w:spacing w:line="240" w:lineRule="exact"/>
      </w:pPr>
    </w:p>
    <w:p w:rsidR="007F5703" w:rsidRPr="00D855E0" w:rsidRDefault="007F5703" w:rsidP="00D855E0">
      <w:pPr>
        <w:pStyle w:val="Style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D85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требования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Правила </w:t>
      </w:r>
      <w:r w:rsidRPr="00D855E0">
        <w:rPr>
          <w:rFonts w:ascii="Liberation Serif" w:hAnsi="Liberation Serif" w:cs="Liberation Serif"/>
          <w:color w:val="000000"/>
          <w:sz w:val="24"/>
          <w:szCs w:val="24"/>
        </w:rPr>
        <w:t xml:space="preserve">по </w:t>
      </w:r>
      <w:r>
        <w:rPr>
          <w:rFonts w:ascii="Liberation Serif" w:hAnsi="Liberation Serif" w:cs="Liberation Serif"/>
          <w:color w:val="000000"/>
          <w:sz w:val="24"/>
          <w:szCs w:val="24"/>
        </w:rPr>
        <w:t>охране труда в</w:t>
      </w:r>
      <w:r w:rsidRPr="00D855E0">
        <w:rPr>
          <w:rFonts w:ascii="Liberation Serif" w:hAnsi="Liberation Serif" w:cs="Liberation Serif"/>
          <w:color w:val="000000"/>
          <w:sz w:val="24"/>
          <w:szCs w:val="24"/>
        </w:rPr>
        <w:t xml:space="preserve"> Учреждении высшего образования «Московский художественно-промышленный институт»</w:t>
      </w: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— Правила, МХПИ) устанавливают требования охраны труда в целях обеспечения безопасности и охраны здоровья работников и обучающихся.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Требования Правил распространяются на всех участников образовательного процесса, вспомогательный персонал.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Ректор МХПИ обеспечивает разработку и утверждение локальных нормативных актов, в рамках системы управления охраной труда (далее - СУОТ), а также соответствующих руководящих и распорядительных документов, обеспечивающих безопасные условия и охрану труда.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При выполнении работ и осуществлении деятельности (в зависимости от вида выполняемой работы) в образовательной организации на работников возможно воздействие вредных и (или) опасных производственных факторов, в том числе: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зрительное утомление при длительной работе с документами;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зрительное утомление при длительной работе с компьютером;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высокая концентрация внимания;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 психоэмоциональные нагрузки: степень ответственности за результат собственной деятельности, значимости ошибки.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психофизиологическое напряжение;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длительные статические нагрузки;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длительные физические нагрузки;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повышенный или пониженный уровень освещенности;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повышенный уровень шума;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повышенная или пониженная температура воздуха рабочей зоны, повышенная влажность, подвижность воздуха;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ионизирующие, неионизирующие излучения и электромагнитные поля при работе с компьютером;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поражение электрическим током при использовании электрических приборов;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плохое состояние пола в помещениях для учебных занятий;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острые кромки, заусенцы и неровности поверхностей оборудования, инвентаря, инструмента и приспособлений;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химические вещества, выделяющиеся при работе копировальных аппаратов.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поражение кожи рук, раздражения и аллергические реакции при работе с использованием дезинфицирующих растворов и моющих средств без защитных средств.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F5703" w:rsidRDefault="007F5703" w:rsidP="00D85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Требования охраны труда работников </w:t>
      </w:r>
    </w:p>
    <w:p w:rsidR="007F5703" w:rsidRPr="00D855E0" w:rsidRDefault="007F5703" w:rsidP="00D855E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и проведении работ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При наличии на рабочих местах вредных (опасных) условий труда, установленных по результатам специальной оценки условий труда и идентификации опасностей в рамках соответствующих процедур СУОТ, работодатель обязан реализовывать мероприятия, направленные на улучшение условий труда работников, снижение уровня профессионального риска и воздействия вредных и (или) опасных производственных факторов.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При невозможности исключения или снижения уровней вредных и (или) опасных производственных факторов до допустимых уровней воздействия в связи с характером и условиями осуществления деятельности в образовательной организации проведение работ без обеспечения работников соответствующими средствами коллективной и индивидуальной защиты запрещается.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Продолжение работ на рабочих местах, имеющих критические риски для здоровья, возможно осуществлять только после проведения мероприятий по изменению производственного процесса и условий проведения работ, обеспечивающих исключение или уменьшение воздействия вредных и (или) опасных факторов до уровня допустимого и разработки соответствующей нормативно-правовой или технической документации.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Руководитель образовательной организации вправе устанавливать дополнительные требования безопасности при выполнении работ, улучшающие условия труда работников.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Работник образовательной организации обязан: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соблюдать требования охраны труда;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правильно использовать производственное оборудование (компьютеры, копировально-множительная техника, лабораторное оборудование, электрооборудование и т.д.), инструменты, инвентарь, следить за их исправностью в пределах выполнения своей трудовой функции;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выполнять только те виды работ, которые соответствуют его квалификации, предусмотрены должностными инструкциями и указаниями вышестоящих руководителей, не противоречащие требованиям законодательства о труде и об охране труда, а также требованиям действующих в организации локальных документов;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применять безопасные приемы выполнения работ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bookmarkStart w:id="0" w:name="_Hlk100265557"/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bookmarkEnd w:id="0"/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и правильно применять средства индивидуальной и коллективной защиты;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незамедлительно поставить в известность своего непосредственного руководителя о выявленных при проверке неисправностях (оборудования, инструментов, инвентаря и т. д.), приостановить работу до их устранения;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работниками, обучающимися, участвующими в производственной/образовательной деятельности образовательной организации,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Режимы труда и отдыха работников устанавливаются правилами внутреннего трудового распорядка и иными локальными нормативными актами образовательной организации в соответствии с трудовым законодательством.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Руководитель МХПИ обязан предусмотреть наличие оборудованного помещения для обогревания и отдыха работников.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Охрана труда работников образовательной организации должна обеспечиваться: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соблюдением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производственных процессов и операций;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нормативные требования охраны труда;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своевременным получением информации о возникновении опасных и (или) вредных производственных факторов на отдельных технологических операциях;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системой контроля и управления технологическими процессами, обеспечивающими защиту работников и аварийное отключение оборудования; а также системой ручной разблокировки и возможностью эвакуации работника при аварийной ситуации;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использованием сигнальных цветов, знаков безопасности и сигнальной разметки;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отходов, являющихся источниками опасных и (или) вредных производственных факторов;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применением средств индивидуальной и коллективной защиты.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Работы, связанные с применением токсических, раздражающих и легковоспламеняющихся веществ, должны выполняться в отдельных помещениях или на специальных изолированных участках производственных помещений, приспособленных для данного вида работ. Исключения составляют работы по дезинфекции, дезинсекции помещений и дератизации.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  Вредные и опасные вещества по окончании рабочей смены должны удаляться с рабочих мест в специально оборудованные места хранения, а по мере их накопления вывозиться и утилизироваться.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очистки мест хранения от вредных и опасных веществ, а также от болезнетворных микроорганизмов с последующей обработкой обезвреживающими, обеззараживающими и дезинфицирующими средствами должны привлекаться специализированные организации или сотрудники, допущенные к выполнению данной работы согласно внутренних локально-нормативных актов организаций согласно действующему законодательству.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5703" w:rsidRDefault="007F5703" w:rsidP="00D85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Требования, предъявляемые к производственным помещениям </w:t>
      </w:r>
    </w:p>
    <w:p w:rsidR="007F5703" w:rsidRPr="00D855E0" w:rsidRDefault="007F5703" w:rsidP="00D855E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производственным площадкам (при наличии процессов, выполняемых </w:t>
      </w:r>
    </w:p>
    <w:p w:rsidR="007F5703" w:rsidRPr="00D855E0" w:rsidRDefault="007F5703" w:rsidP="00D855E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вне производственных помещений), в целях обеспечения охраны труда работников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Запрещается загромождать проходы и проезды около зданий, проходы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Необходимо содержать переходы, лестницы, площадки и перила к ним в исправном состоянии и чистоте, а расположенные на открытом воздухе – очищенными в зимнее время от снега и льда, обработанными противогололедными средствами.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Переходы, связывающие несколько зданий, находящихся на одной собственной территории, должны быть отапливаемыми, (неотапливаемые переходы допускаются только при определенных климатических условиях).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В подвальных/цокольных этажах можно организовать только гардероб, туалет для персонала, тир, книгохранилище, обеденные и тренажерные залы, помещения для стирки и сушки белья, гладильные хозяйственные и иные подсобные помещения.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Уровни естественного и искусственного освещения в помещениях образовательной организации должны соответствовать гигиеническим нормативам.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в одном помещении использовать разные типы ламп, а также лампы с разным светооизлучением.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Осветительные приборы должны иметь светорассеивающую конструкцию: в помещениях, предназначенных для занятий физкультурой и спортом – защитную, в помещениях пищеблока, душевых и в прачечной - пылевлагонепроницаемую.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источники искусственного освещения должны содержаться в исправном состоянии и не должны содержать следы загрязнений.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При отсутствии централизованной системы водоснабжения и водоотведения разрешено использовать нецентрализованные системы холодного и горячего водоснабжения, водоотведения, со спуском сточных вод в локальные очистные сооружения, а при отсутствии горячего централизованного водоснабжения – водонагревающие устройства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группа помещений (учебно-производственные,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Конструкция окон должна обеспечивать возможность проведения проветривания помещений в любое время года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Планировка мастерских (при наличии), размещение в них рабочих мест, оборудования и мебели должны обеспечивать благоприятные и безопасные условия для организации учебно-производственного процесса, возможность контроля за действиями каждого обучающегося.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 Стенды, доски, информационные щиты необходимо хорошо укреплять.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3.11. Полы в помещениях образовательной организации должны иметь нескользкую, удобную для передвижения работников и обучающихся, а также уборки поверхность без выбоин, отверстий, иных повреждений напольных покрытий.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703" w:rsidRDefault="007F5703" w:rsidP="00D855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Требования, предъявляемые к оборудованию, его размещению 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организации рабочих мест в целях обеспечения охраны труда работников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Производственное оборудование, инструмент и приспособления должны в течение всего срока эксплуатации отвечать требованиям действующих государственных стандартов.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Рабочее место работника образовательной организации должно быть удобно и безопасно, обеспечено свободным доступом.</w:t>
      </w:r>
      <w:r w:rsidRPr="00D855E0">
        <w:rPr>
          <w:sz w:val="24"/>
          <w:szCs w:val="24"/>
        </w:rPr>
        <w:t xml:space="preserve"> 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Занятия должны проводиться в тех помещениях, которые определены в расписании.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занятий в помещениях для проведения практической подготовки должна выполняться только та работа, которая предусмотрена рабочей программой и планом занятий.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проведение занятий в помещениях, непринятых в эксплуатацию в установленном порядке.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Покрытие столов и стульев, в том числе обеденных,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Интерактивная доска должна быть расположена по центру фронтальной стены учебного помещения.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 При использовании маркерной доски цвет маркера должен быть контрастного цвета по отношению к цвету доски.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4.9.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4.10.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4.11. При организации питания должны соблюдаться следующие требования: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4.11.1.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4.11.2. 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4.12. На входных дверях помещений (снаружи), в которых находится оборудование, которое эксплуатируется со строгой регламентацией техники безопасности, или в помещениях, где проводятся работы, связанные с использованием вредных веществ, должны  быть таблички с уведомлением об опасности.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4.13. При проведении ремонтных работ в помещении, на территории, иных работ, влекущих за собой опасность для работников образовательной организации и обучающихся, устанавливаются защитные ограждения, окрашенные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4.14. Для уменьшения воздействия на работников вредных и (или) опасных производственных факторов используются коллективные и индивидуальные средства защиты работников: специальная одежда и обувь, рукавицы, перчатки, респираторы, защитные очки, противошумные наушники и вкладыши, предохранительные пояса, диэлектрические коврики, мази, кремы, пасты, растворы и т. д..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4.15.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4.16. Выполнение работ на опасном технологическом оборудовании должно осуществляться строго по инструкции с соблюдением техники безопасности.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5703" w:rsidRPr="00D855E0" w:rsidRDefault="007F5703" w:rsidP="00D855E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охраны труда при транспортировании (перемещении) грузов автомобильным транспортом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Для обеспечения безопасности дорожного движения должна быть разработана схема маршрутов движения транспортных средств, утвержденная лицом, отвечающим за данное направление работы в образовательной организации или иным уполномоченным им должностным лицом.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  <w:r w:rsidRPr="00D855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охраны труда при перевозке работников и обучающихся образовательной организации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Перевозка работников и обучающихся может осуществляться автомобильным транспортом – автобусами, легковыми автомобилями.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Перевозку обучающихся образовательной организации к месту назначения и обратно необходимо осуществлять под руководством старшего группы – ответственного из числа педагогических работников, назначенного распоряжением (приказом) руководителя образовательной организации.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Все транспортные средства должны быть технически исправными, с наличием средств безопасности.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8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 Посадка и высадка работников и обучающихся должна осуществляться только при полной остановке транспортного средства, под руководством и наблюдением старшего группы (при перевозке обучающихся). Об окончании посадки, высадки работников и обучающихся сообщается водителю транспортного средства.</w:t>
      </w:r>
    </w:p>
    <w:p w:rsidR="007F5703" w:rsidRPr="00D855E0" w:rsidRDefault="007F5703" w:rsidP="00D855E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7F5703" w:rsidRPr="00D855E0" w:rsidRDefault="007F5703" w:rsidP="00D855E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7F5703" w:rsidRPr="00D855E0" w:rsidSect="00D855E0">
      <w:headerReference w:type="default" r:id="rId8"/>
      <w:footerReference w:type="default" r:id="rId9"/>
      <w:pgSz w:w="11906" w:h="16838"/>
      <w:pgMar w:top="1134" w:right="567" w:bottom="1134" w:left="1620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03" w:rsidRDefault="007F5703">
      <w:pPr>
        <w:spacing w:after="0" w:line="240" w:lineRule="auto"/>
      </w:pPr>
      <w:r>
        <w:separator/>
      </w:r>
    </w:p>
  </w:endnote>
  <w:endnote w:type="continuationSeparator" w:id="0">
    <w:p w:rsidR="007F5703" w:rsidRDefault="007F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03" w:rsidRDefault="007F5703" w:rsidP="009906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F5703" w:rsidRDefault="007F5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03" w:rsidRDefault="007F5703">
      <w:pPr>
        <w:spacing w:after="0" w:line="240" w:lineRule="auto"/>
      </w:pPr>
      <w:r>
        <w:separator/>
      </w:r>
    </w:p>
  </w:footnote>
  <w:footnote w:type="continuationSeparator" w:id="0">
    <w:p w:rsidR="007F5703" w:rsidRDefault="007F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03" w:rsidRDefault="007F5703">
    <w:pPr>
      <w:pStyle w:val="Head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0B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D5B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D3A"/>
    <w:rsid w:val="0026260C"/>
    <w:rsid w:val="00512D1E"/>
    <w:rsid w:val="00674F93"/>
    <w:rsid w:val="007F5703"/>
    <w:rsid w:val="008B5B44"/>
    <w:rsid w:val="00990646"/>
    <w:rsid w:val="00D855E0"/>
    <w:rsid w:val="00F05C44"/>
    <w:rsid w:val="00F12F26"/>
    <w:rsid w:val="00F47931"/>
    <w:rsid w:val="00F76D3A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4F81BD"/>
    </w:rPr>
  </w:style>
  <w:style w:type="character" w:customStyle="1" w:styleId="1">
    <w:name w:val="Заголовок 1 Знак"/>
    <w:uiPriority w:val="99"/>
    <w:locked/>
    <w:rPr>
      <w:rFonts w:ascii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a">
    <w:name w:val="Верхний колонтитул Знак"/>
    <w:uiPriority w:val="99"/>
    <w:locked/>
  </w:style>
  <w:style w:type="character" w:customStyle="1" w:styleId="HTML">
    <w:name w:val="Стандартный HTML Знак"/>
    <w:uiPriority w:val="99"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0">
    <w:name w:val="Нижний колонтитул Знак"/>
    <w:uiPriority w:val="99"/>
    <w:locked/>
  </w:style>
  <w:style w:type="character" w:customStyle="1" w:styleId="a1">
    <w:name w:val="Текст выноски Знак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2">
    <w:name w:val="Перечень Знак"/>
    <w:uiPriority w:val="99"/>
    <w:locked/>
    <w:rPr>
      <w:rFonts w:ascii="Times New Roman" w:hAnsi="Times New Roman" w:cs="Times New Roman"/>
      <w:sz w:val="28"/>
      <w:szCs w:val="28"/>
      <w:u w:val="none" w:color="000000"/>
      <w:lang w:val="x-none" w:eastAsia="ru-RU"/>
    </w:rPr>
  </w:style>
  <w:style w:type="character" w:customStyle="1" w:styleId="a3">
    <w:name w:val="Основной текст Знак"/>
    <w:uiPriority w:val="99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4">
    <w:name w:val="Цветовое выделение"/>
    <w:uiPriority w:val="99"/>
    <w:rPr>
      <w:b/>
      <w:bCs/>
      <w:color w:val="auto"/>
    </w:rPr>
  </w:style>
  <w:style w:type="character" w:customStyle="1" w:styleId="a5">
    <w:name w:val="Гипертекстовая ссылка"/>
    <w:uiPriority w:val="99"/>
    <w:rPr>
      <w:b/>
      <w:bCs/>
      <w:color w:val="auto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6">
    <w:name w:val="Основной текст_"/>
    <w:uiPriority w:val="99"/>
    <w:locked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1">
    <w:name w:val="Основной текст (4) + 11"/>
    <w:uiPriority w:val="99"/>
    <w:rPr>
      <w:rFonts w:ascii="Times New Roman" w:hAnsi="Times New Roman" w:cs="Times New Roman"/>
      <w:b/>
      <w:bCs/>
      <w:spacing w:val="60"/>
      <w:sz w:val="23"/>
      <w:szCs w:val="23"/>
    </w:rPr>
  </w:style>
  <w:style w:type="paragraph" w:customStyle="1" w:styleId="a7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x-none"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customStyle="1" w:styleId="a8">
    <w:name w:val="Верхний и нижний колонтитулы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a9">
    <w:name w:val="Перечень"/>
    <w:basedOn w:val="Normal"/>
    <w:next w:val="Normal"/>
    <w:uiPriority w:val="99"/>
    <w:pPr>
      <w:spacing w:after="0" w:line="360" w:lineRule="auto"/>
      <w:ind w:firstLine="284"/>
      <w:jc w:val="both"/>
    </w:pPr>
    <w:rPr>
      <w:sz w:val="28"/>
      <w:szCs w:val="28"/>
      <w:u w:color="000000"/>
      <w:lang w:eastAsia="ru-RU"/>
    </w:rPr>
  </w:style>
  <w:style w:type="paragraph" w:customStyle="1" w:styleId="Default">
    <w:name w:val="Default"/>
    <w:uiPriority w:val="99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aa">
    <w:name w:val="Комментарий"/>
    <w:basedOn w:val="Normal"/>
    <w:next w:val="Normal"/>
    <w:uiPriority w:val="99"/>
    <w:pPr>
      <w:widowControl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Normal"/>
    <w:uiPriority w:val="99"/>
    <w:rPr>
      <w:i/>
      <w:iCs/>
    </w:rPr>
  </w:style>
  <w:style w:type="paragraph" w:customStyle="1" w:styleId="ac">
    <w:name w:val="Нормальный (таблица)"/>
    <w:basedOn w:val="Normal"/>
    <w:next w:val="Normal"/>
    <w:uiPriority w:val="99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Normal"/>
    <w:next w:val="Norma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Normal"/>
    <w:next w:val="Normal"/>
    <w:uiPriority w:val="9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Заголовок статьи"/>
    <w:basedOn w:val="Normal"/>
    <w:next w:val="Normal"/>
    <w:uiPriority w:val="99"/>
    <w:pPr>
      <w:widowControl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DocList">
    <w:name w:val="ConsPlusDocList"/>
    <w:uiPriority w:val="99"/>
    <w:pPr>
      <w:widowControl w:val="0"/>
      <w:suppressAutoHyphens/>
    </w:pPr>
    <w:rPr>
      <w:rFonts w:ascii="Tahoma" w:eastAsia="Times New Roman" w:hAnsi="Tahoma" w:cs="Tahoma"/>
      <w:sz w:val="18"/>
      <w:szCs w:val="18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af0">
    <w:name w:val="Содержимое таблицы"/>
    <w:basedOn w:val="Normal"/>
    <w:uiPriority w:val="99"/>
    <w:pPr>
      <w:suppressLineNumbers/>
    </w:p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8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1123</TotalTime>
  <Pages>7</Pages>
  <Words>3079</Words>
  <Characters>17553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XXX</cp:lastModifiedBy>
  <cp:revision>38</cp:revision>
  <cp:lastPrinted>2020-10-01T23:21:00Z</cp:lastPrinted>
  <dcterms:created xsi:type="dcterms:W3CDTF">2021-04-13T02:10:00Z</dcterms:created>
  <dcterms:modified xsi:type="dcterms:W3CDTF">2022-05-11T05:43:00Z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